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2107A" w14:textId="039A5B65" w:rsidR="00CB1D05" w:rsidRPr="00B266B0" w:rsidRDefault="00CB1D05" w:rsidP="00CB1D05">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w:t>
      </w:r>
      <w:r w:rsidR="008F0729">
        <w:rPr>
          <w:noProof w:val="0"/>
          <w:sz w:val="24"/>
          <w:szCs w:val="24"/>
        </w:rPr>
        <w:t>123</w:t>
      </w:r>
      <w:r w:rsidRPr="00B266B0">
        <w:rPr>
          <w:bCs/>
          <w:noProof w:val="0"/>
          <w:sz w:val="24"/>
          <w:szCs w:val="24"/>
        </w:rPr>
        <w:tab/>
      </w:r>
      <w:r w:rsidR="002A7C5C" w:rsidRPr="002A7C5C">
        <w:rPr>
          <w:bCs/>
          <w:noProof w:val="0"/>
          <w:sz w:val="24"/>
          <w:szCs w:val="24"/>
        </w:rPr>
        <w:t>R3-240733</w:t>
      </w:r>
    </w:p>
    <w:p w14:paraId="4F6EEFE9" w14:textId="5BBCDFE8" w:rsidR="00CB1D05" w:rsidRPr="00B1063A" w:rsidRDefault="008F0729" w:rsidP="00CB1D05">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26 February</w:t>
      </w:r>
      <w:r w:rsidRPr="00782170">
        <w:rPr>
          <w:rFonts w:cs="Arial"/>
          <w:sz w:val="24"/>
          <w:szCs w:val="24"/>
          <w:lang w:val="en-US"/>
        </w:rPr>
        <w:t xml:space="preserve"> – </w:t>
      </w:r>
      <w:r>
        <w:rPr>
          <w:rFonts w:cs="Arial"/>
          <w:sz w:val="24"/>
          <w:szCs w:val="24"/>
          <w:lang w:val="en-US"/>
        </w:rPr>
        <w:t>01</w:t>
      </w:r>
      <w:r w:rsidRPr="00782170">
        <w:rPr>
          <w:rFonts w:cs="Arial"/>
          <w:sz w:val="24"/>
          <w:szCs w:val="24"/>
          <w:lang w:val="en-US"/>
        </w:rPr>
        <w:t xml:space="preserve"> </w:t>
      </w:r>
      <w:r>
        <w:rPr>
          <w:rFonts w:cs="Arial"/>
          <w:sz w:val="24"/>
          <w:szCs w:val="24"/>
          <w:lang w:val="en-US"/>
        </w:rPr>
        <w:t>March</w:t>
      </w:r>
      <w:r w:rsidR="00CB1D05" w:rsidRPr="00C84ED9">
        <w:rPr>
          <w:rFonts w:cs="Arial"/>
          <w:sz w:val="24"/>
          <w:szCs w:val="24"/>
          <w:lang w:val="en-US"/>
        </w:rPr>
        <w:t>, 202</w:t>
      </w:r>
      <w:r>
        <w:rPr>
          <w:rFonts w:cs="Arial"/>
          <w:sz w:val="24"/>
          <w:szCs w:val="24"/>
          <w:lang w:val="en-US"/>
        </w:rPr>
        <w:t>4</w:t>
      </w:r>
    </w:p>
    <w:p w14:paraId="0C41AA29" w14:textId="77777777" w:rsidR="007645EF" w:rsidRDefault="007645EF" w:rsidP="007645EF">
      <w:pPr>
        <w:rPr>
          <w:rFonts w:ascii="Calibri" w:hAnsi="Calibri" w:cs="Arial"/>
          <w:sz w:val="22"/>
          <w:szCs w:val="22"/>
        </w:rPr>
      </w:pPr>
    </w:p>
    <w:p w14:paraId="7A0C4307" w14:textId="77777777" w:rsidR="00CB1D05" w:rsidRPr="007645EF" w:rsidRDefault="00CB1D05" w:rsidP="007645EF">
      <w:pPr>
        <w:rPr>
          <w:rFonts w:ascii="Calibri" w:hAnsi="Calibri" w:cs="Arial"/>
          <w:sz w:val="22"/>
          <w:szCs w:val="22"/>
        </w:rPr>
      </w:pPr>
    </w:p>
    <w:p w14:paraId="4E299054" w14:textId="0ED5B85C" w:rsidR="007645EF" w:rsidRPr="00A85811" w:rsidRDefault="007645EF" w:rsidP="007645EF">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t xml:space="preserve">[Draft] </w:t>
      </w:r>
      <w:r w:rsidR="00E8196F">
        <w:rPr>
          <w:rFonts w:ascii="Calibri" w:hAnsi="Calibri" w:cs="Arial"/>
          <w:b/>
          <w:sz w:val="22"/>
          <w:szCs w:val="22"/>
        </w:rPr>
        <w:t xml:space="preserve">Reply </w:t>
      </w:r>
      <w:r w:rsidRPr="007645EF">
        <w:rPr>
          <w:rFonts w:ascii="Calibri" w:hAnsi="Calibri" w:cs="Arial"/>
          <w:b/>
          <w:sz w:val="22"/>
          <w:szCs w:val="22"/>
        </w:rPr>
        <w:t xml:space="preserve">LS </w:t>
      </w:r>
      <w:r w:rsidR="00A85811" w:rsidRPr="00A85811">
        <w:rPr>
          <w:rFonts w:ascii="Calibri" w:hAnsi="Calibri" w:cs="Arial"/>
          <w:b/>
          <w:sz w:val="22"/>
          <w:szCs w:val="22"/>
        </w:rPr>
        <w:t>on the</w:t>
      </w:r>
      <w:r w:rsidR="00184AE7">
        <w:rPr>
          <w:rFonts w:ascii="Calibri" w:hAnsi="Calibri" w:cs="Arial"/>
          <w:b/>
          <w:sz w:val="22"/>
          <w:szCs w:val="22"/>
        </w:rPr>
        <w:t xml:space="preserve"> NG-RAN Energy Saving Energy Cost index </w:t>
      </w:r>
    </w:p>
    <w:p w14:paraId="2B92D184" w14:textId="278763A4"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184AE7">
        <w:rPr>
          <w:rFonts w:ascii="Calibri" w:hAnsi="Calibri" w:cs="Arial"/>
          <w:bCs/>
          <w:sz w:val="22"/>
          <w:szCs w:val="22"/>
        </w:rPr>
        <w:t>41076</w:t>
      </w:r>
      <w:r w:rsidR="000A06DE">
        <w:rPr>
          <w:rFonts w:ascii="Calibri" w:hAnsi="Calibri" w:cs="Arial"/>
          <w:bCs/>
          <w:sz w:val="22"/>
          <w:szCs w:val="22"/>
        </w:rPr>
        <w:t xml:space="preserve"> – R3-</w:t>
      </w:r>
      <w:r w:rsidR="00184AE7" w:rsidRPr="00184AE7">
        <w:rPr>
          <w:rFonts w:ascii="Calibri" w:hAnsi="Calibri" w:cs="Arial"/>
          <w:bCs/>
          <w:sz w:val="22"/>
          <w:szCs w:val="22"/>
        </w:rPr>
        <w:t>240056</w:t>
      </w:r>
    </w:p>
    <w:p w14:paraId="3A7C771E" w14:textId="4D2EF2CD"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53F27C49" w14:textId="11D5524E"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1896D3D0" w14:textId="77777777" w:rsidR="007645EF" w:rsidRPr="007645EF" w:rsidRDefault="007645EF" w:rsidP="007645EF">
      <w:pPr>
        <w:spacing w:after="60"/>
        <w:ind w:left="1985" w:hanging="1985"/>
        <w:rPr>
          <w:rFonts w:ascii="Calibri" w:hAnsi="Calibri" w:cs="Arial"/>
          <w:b/>
          <w:sz w:val="22"/>
          <w:szCs w:val="22"/>
        </w:rPr>
      </w:pPr>
    </w:p>
    <w:p w14:paraId="6D489D7D"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color w:val="FF0000"/>
        </w:rPr>
        <w:t xml:space="preserve">Nokia [to be </w:t>
      </w:r>
      <w:r>
        <w:rPr>
          <w:rFonts w:ascii="Arial" w:hAnsi="Arial" w:cs="Arial"/>
          <w:bCs/>
        </w:rPr>
        <w:t>RAN3</w:t>
      </w:r>
      <w:r>
        <w:rPr>
          <w:rFonts w:ascii="Arial" w:hAnsi="Arial" w:cs="Arial"/>
          <w:bCs/>
          <w:color w:val="FF0000"/>
        </w:rPr>
        <w:t>]</w:t>
      </w:r>
    </w:p>
    <w:p w14:paraId="15CEB6D4" w14:textId="7DF6A48D"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To:</w:t>
      </w:r>
      <w:r w:rsidRPr="002A7C5C">
        <w:rPr>
          <w:rFonts w:ascii="Calibri" w:hAnsi="Calibri" w:cs="Arial"/>
          <w:bCs/>
          <w:sz w:val="22"/>
          <w:szCs w:val="22"/>
          <w:lang w:val="en-US"/>
        </w:rPr>
        <w:tab/>
      </w:r>
      <w:r w:rsidR="00CB1D05" w:rsidRPr="002A7C5C">
        <w:rPr>
          <w:rFonts w:ascii="Calibri" w:hAnsi="Calibri" w:cs="Arial"/>
          <w:bCs/>
          <w:sz w:val="22"/>
          <w:szCs w:val="22"/>
          <w:lang w:val="en-US"/>
        </w:rPr>
        <w:t>SA</w:t>
      </w:r>
      <w:r w:rsidR="00945C14" w:rsidRPr="002A7C5C">
        <w:rPr>
          <w:rFonts w:ascii="Calibri" w:hAnsi="Calibri" w:cs="Arial"/>
          <w:bCs/>
          <w:sz w:val="22"/>
          <w:szCs w:val="22"/>
          <w:lang w:val="en-US"/>
        </w:rPr>
        <w:t>5</w:t>
      </w:r>
    </w:p>
    <w:p w14:paraId="3648A494" w14:textId="7E41A532"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Cc:</w:t>
      </w:r>
      <w:r w:rsidRPr="002A7C5C">
        <w:rPr>
          <w:rFonts w:ascii="Calibri" w:hAnsi="Calibri" w:cs="Arial"/>
          <w:bCs/>
          <w:sz w:val="22"/>
          <w:szCs w:val="22"/>
          <w:lang w:val="en-US"/>
        </w:rPr>
        <w:tab/>
      </w:r>
      <w:r w:rsidR="00C62078" w:rsidRPr="002A7C5C">
        <w:rPr>
          <w:rFonts w:ascii="Calibri" w:hAnsi="Calibri" w:cs="Arial"/>
          <w:bCs/>
          <w:sz w:val="22"/>
          <w:szCs w:val="22"/>
          <w:lang w:val="en-US"/>
        </w:rPr>
        <w:t xml:space="preserve"> </w:t>
      </w:r>
    </w:p>
    <w:p w14:paraId="1BDE9922" w14:textId="77777777" w:rsidR="007645EF" w:rsidRPr="002A7C5C" w:rsidRDefault="007645EF" w:rsidP="007645EF">
      <w:pPr>
        <w:spacing w:after="60"/>
        <w:ind w:left="1985" w:hanging="1985"/>
        <w:rPr>
          <w:rFonts w:ascii="Calibri" w:hAnsi="Calibri" w:cs="Arial"/>
          <w:bCs/>
          <w:sz w:val="12"/>
          <w:szCs w:val="22"/>
          <w:lang w:val="en-US"/>
        </w:rPr>
      </w:pPr>
    </w:p>
    <w:p w14:paraId="52E0182E" w14:textId="77777777" w:rsidR="00CB1D05" w:rsidRPr="002A7C5C" w:rsidRDefault="007645EF" w:rsidP="00CB1D05">
      <w:pPr>
        <w:tabs>
          <w:tab w:val="left" w:pos="2268"/>
        </w:tabs>
        <w:rPr>
          <w:rFonts w:ascii="Calibri" w:hAnsi="Calibri" w:cs="Arial"/>
          <w:b/>
          <w:sz w:val="22"/>
          <w:szCs w:val="22"/>
          <w:lang w:val="en-US"/>
        </w:rPr>
      </w:pPr>
      <w:r w:rsidRPr="002A7C5C">
        <w:rPr>
          <w:rFonts w:ascii="Calibri" w:hAnsi="Calibri" w:cs="Arial"/>
          <w:b/>
          <w:sz w:val="22"/>
          <w:szCs w:val="22"/>
          <w:lang w:val="en-US"/>
        </w:rPr>
        <w:t>Contact Person:</w:t>
      </w:r>
      <w:bookmarkStart w:id="1" w:name="_Hlk110438804"/>
    </w:p>
    <w:p w14:paraId="6039B8AA"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630206EF" w14:textId="6C2ABA76"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1"/>
    <w:p w14:paraId="5FD0F223" w14:textId="77777777" w:rsidR="007645EF" w:rsidRPr="007645EF" w:rsidRDefault="007645EF" w:rsidP="007645EF">
      <w:pPr>
        <w:tabs>
          <w:tab w:val="left" w:pos="2268"/>
        </w:tabs>
        <w:rPr>
          <w:rFonts w:ascii="Calibri" w:hAnsi="Calibri" w:cs="Arial"/>
          <w:b/>
          <w:sz w:val="22"/>
          <w:szCs w:val="22"/>
          <w:lang w:val="en-US"/>
        </w:rPr>
      </w:pPr>
    </w:p>
    <w:p w14:paraId="6DE61775"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F1ECF2D" w14:textId="77777777" w:rsidR="007645EF" w:rsidRPr="007645EF" w:rsidRDefault="007645EF" w:rsidP="007645EF">
      <w:pPr>
        <w:tabs>
          <w:tab w:val="left" w:pos="2268"/>
        </w:tabs>
        <w:rPr>
          <w:rFonts w:ascii="Calibri" w:hAnsi="Calibri" w:cs="Calibri"/>
          <w:b/>
          <w:sz w:val="22"/>
        </w:rPr>
      </w:pPr>
    </w:p>
    <w:p w14:paraId="4BFECBF0"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8E280D2" w14:textId="77777777" w:rsidR="007645EF" w:rsidRPr="007645EF" w:rsidRDefault="007645EF" w:rsidP="007645EF">
      <w:pPr>
        <w:pBdr>
          <w:bottom w:val="single" w:sz="4" w:space="1" w:color="auto"/>
        </w:pBdr>
        <w:rPr>
          <w:rFonts w:ascii="Calibri" w:hAnsi="Calibri" w:cs="Calibri"/>
          <w:sz w:val="24"/>
          <w:szCs w:val="22"/>
        </w:rPr>
      </w:pPr>
    </w:p>
    <w:p w14:paraId="7474A877" w14:textId="77777777" w:rsidR="007645EF" w:rsidRPr="007645EF" w:rsidRDefault="007645EF" w:rsidP="007645EF">
      <w:pPr>
        <w:rPr>
          <w:rFonts w:ascii="Calibri" w:hAnsi="Calibri" w:cs="Arial"/>
          <w:sz w:val="22"/>
          <w:szCs w:val="22"/>
        </w:rPr>
      </w:pPr>
    </w:p>
    <w:p w14:paraId="3A6FD591"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1A8BE35B" w14:textId="5DB67E29" w:rsidR="00742DC3" w:rsidRDefault="00742DC3" w:rsidP="0020616C">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r w:rsidR="00807941">
        <w:rPr>
          <w:rFonts w:ascii="Times New Roman" w:hAnsi="Times New Roman"/>
          <w:sz w:val="20"/>
          <w:lang w:val="en-GB"/>
        </w:rPr>
        <w:t xml:space="preserve"> RAN3 would like to provide answers to the questions provided by SA5 as follows: </w:t>
      </w:r>
    </w:p>
    <w:p w14:paraId="272162E9" w14:textId="77777777" w:rsidR="00945C14" w:rsidRDefault="00945C14" w:rsidP="00945C14">
      <w:pPr>
        <w:pStyle w:val="00BodyText"/>
        <w:spacing w:after="0"/>
        <w:rPr>
          <w:rFonts w:ascii="Times New Roman" w:hAnsi="Times New Roman"/>
          <w:sz w:val="20"/>
        </w:rPr>
      </w:pPr>
      <w:bookmarkStart w:id="2" w:name="_Hlk149836526"/>
    </w:p>
    <w:p w14:paraId="6C49237D" w14:textId="77777777" w:rsidR="00807941" w:rsidRPr="007B2469" w:rsidRDefault="00807941" w:rsidP="00807941">
      <w:pPr>
        <w:rPr>
          <w:b/>
          <w:bCs/>
        </w:rPr>
      </w:pPr>
      <w:r w:rsidRPr="007B2469">
        <w:rPr>
          <w:b/>
          <w:bCs/>
        </w:rPr>
        <w:t xml:space="preserve">Q1: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4CE36C05" w14:textId="77777777" w:rsidR="00807941" w:rsidRDefault="00807941" w:rsidP="00807941">
      <w:r w:rsidRPr="007B2469">
        <w:rPr>
          <w:b/>
          <w:bCs/>
        </w:rPr>
        <w:t>Answer 1</w:t>
      </w:r>
      <w:r>
        <w:t xml:space="preserve">: Energy Cost discussion is not in scope of ng-eNBs, so we will discuss this scenario for gNBs next. It is true that gNBs  know their minimum and maximum energy consumption values, but the intention of creating a unified rule from OAM is to enable appropriate normalization through scaling by the operator. In RAN3 Energy Cost index is encoded as an integer taking values in the interval 0 to 10,000, with value 0 indicating the minimum measured Energy Consumption and with the value 10,000 indicating the maximum measured Energy Consumption. Operator could provide to a gNB a rule that would map a range of energy consumption measurements (below a certain value) to a 0 Energy Cost index and a different range of energy consumption measurements (above a certain value) to be mapped to 10,000. In this way, an operator could scale differently the energy consumption corresponding to bigger nodes as opposed to smaller nodes by mapping different ranges of energy consumptions to the minimum and maximum energy cost index. These rules should be flexible and should allow an operator to possibly also scale differently the energy consumption of nodes depending on the type of power supply used to power the nodes, depending on the node traffic distribution or depending on e.g. constraints linked to conflicting optimizations to energy saving such as related to load balancing. </w:t>
      </w:r>
    </w:p>
    <w:p w14:paraId="5E28AFEC" w14:textId="77777777" w:rsidR="007B2469" w:rsidRDefault="007B2469" w:rsidP="00807941"/>
    <w:p w14:paraId="4BB3CE2A" w14:textId="0D284D43" w:rsidR="00807941" w:rsidRPr="007B2469" w:rsidRDefault="00807941" w:rsidP="00807941">
      <w:pPr>
        <w:rPr>
          <w:b/>
          <w:bCs/>
        </w:rPr>
      </w:pPr>
      <w:r w:rsidRPr="007B2469">
        <w:rPr>
          <w:b/>
          <w:bCs/>
        </w:rPr>
        <w:t>Q2: Do ‘the Energy Consumption values corresponding to the minimum and maximum Energy Cost index values’ for a given gNB, correspond to its own minimum and maximum energy consumption values? If not, then what do these correspond to?</w:t>
      </w:r>
    </w:p>
    <w:p w14:paraId="4BF8ECA3" w14:textId="77777777" w:rsidR="00807941" w:rsidRDefault="00807941" w:rsidP="00807941">
      <w:pPr>
        <w:tabs>
          <w:tab w:val="left" w:pos="2280"/>
        </w:tabs>
      </w:pPr>
      <w:r w:rsidRPr="007B2469">
        <w:rPr>
          <w:b/>
          <w:bCs/>
        </w:rPr>
        <w:t>Answer 2</w:t>
      </w:r>
      <w:r>
        <w:t xml:space="preserve">: Yes, the Energy Consumption values corresponding to the minimum and maximum Energy Cost index values correspond to a gNB’s own minimum and maximum Energy Consumption values. Energy Cost index 0 may be mapped to a range of energy consumption values less than a threshold and Energy Cost index 10,000 may be mapped to a range of energy consumption values higher than a threshold. In a simple case, a single condition can be configured at a gNB to map hardware-related energy consumption with a unitary weight, in which case this would amount to an Energy Cost based on pure (hardware-related) energy consumption. However, energy cost index does not need to purely reflect an energy consumption and different conditions may be configured at a gNB instead. An operator could configure to gNBs a condition or a set of different conditions and associated weight(s),that should be used by a gNB to evaluate and measure its energy consumption. Those conditions could be related to hardware energy consumption (static component) as well as to a traffic distribution of UEs with an associated weight (dynamic component). In the </w:t>
      </w:r>
      <w:r>
        <w:lastRenderedPageBreak/>
        <w:t>second case, the Energy Cost will not only account for the pure hardware-related Energy Consumption, but also on the possible impacts of UE Traffic to a node depending on whether it is at the cell-border or cell-center.</w:t>
      </w:r>
    </w:p>
    <w:p w14:paraId="5AABD572" w14:textId="77777777" w:rsidR="007B2469" w:rsidRDefault="007B2469" w:rsidP="00807941"/>
    <w:p w14:paraId="279AF8B7" w14:textId="00E48AC2" w:rsidR="00807941" w:rsidRPr="007B2469" w:rsidRDefault="00807941" w:rsidP="00807941">
      <w:pPr>
        <w:rPr>
          <w:b/>
          <w:bCs/>
        </w:rPr>
      </w:pPr>
      <w:r w:rsidRPr="007B2469">
        <w:rPr>
          <w:b/>
          <w:bCs/>
        </w:rPr>
        <w:t xml:space="preserve">Q3:  </w:t>
      </w:r>
      <w:bookmarkStart w:id="3" w:name="_Hlk158234615"/>
      <w:r w:rsidRPr="007B2469">
        <w:rPr>
          <w:b/>
          <w:bCs/>
        </w:rPr>
        <w:t>What is the use case for configuring a unified mapping rule among multiple gNBs, i.e., all gNBs in the defined area?</w:t>
      </w:r>
      <w:bookmarkEnd w:id="3"/>
      <w:r w:rsidRPr="007B2469">
        <w:rPr>
          <w:b/>
          <w:bCs/>
        </w:rPr>
        <w:t xml:space="preserve"> </w:t>
      </w:r>
    </w:p>
    <w:p w14:paraId="7F44539A" w14:textId="1C08AFB8" w:rsidR="00807941" w:rsidRDefault="00807941" w:rsidP="00807941">
      <w:r w:rsidRPr="007B2469">
        <w:rPr>
          <w:b/>
          <w:bCs/>
        </w:rPr>
        <w:t>Answer 3</w:t>
      </w:r>
      <w:r>
        <w:t xml:space="preserve">: The use case that we have considered in AI/ML Energy Saving is switching-off a cell and offloading the traffic to one or more neighbouring cells. To explain the use case, we provide the example in </w:t>
      </w:r>
      <w:r>
        <w:fldChar w:fldCharType="begin"/>
      </w:r>
      <w:r>
        <w:instrText xml:space="preserve"> REF _Ref159163563 \h  \* MERGEFORMAT </w:instrText>
      </w:r>
      <w:r>
        <w:fldChar w:fldCharType="separate"/>
      </w:r>
      <w:r>
        <w:t>Figure 1</w:t>
      </w:r>
      <w:r>
        <w:fldChar w:fldCharType="end"/>
      </w:r>
      <w:r>
        <w:t xml:space="preserve">. In this figure, operator has configured a unified mapping rule around an area of gNB0. gNB0 is a capacity layer that tries to determine whether it is optimal to offload its traffic to one or more of its neighbouring gNBs (gNB1, gNB2 and gNB3) and switch off its cells. To make an optimal AI/ML Energy Saving decision the capacity layer needs to obtain Energy Cost information from its neighbours to be able to monitor the variations of their Energy Cost index with respect to their load. This Energy Cost information is requested and received through the Data Collection procedures.  However, for gNB0 to be able to make the right AI/ML Energy Saving decision the energy cost measurements provided by its neighbours needs to be scaled in the same way as its own Energy Cost is scaled so that it can compare whether the overall energy cost in the impacted area of the offloading (comprising gNB 0, gNB1, gNB2 and gNB3) will be no more than the current Energy Cost before the offloading. So even though the incremental Energy Cost at one or more neighbours may be higher after an Energy Saving offloading the decision to offload traffic is still optimal if the total delta increase is lower than the decrease with respect to Energy Cost achieved by switching off the offloading cell. </w:t>
      </w:r>
    </w:p>
    <w:p w14:paraId="7B4833F4" w14:textId="77777777" w:rsidR="00807941" w:rsidRDefault="00807941" w:rsidP="00807941">
      <w:r>
        <w:t>In this example, the unified mapping rule must be common among the gNBs that are involved in an AI/ML offloading action. A different unified mapping rule could be defined across other gNBs participating a different AI/ML offloading. In one extreme, the unified mapping rule could be common across the PLMN, however this is an unnecessary restriction.</w:t>
      </w:r>
    </w:p>
    <w:p w14:paraId="1BFDFEF8" w14:textId="77777777" w:rsidR="00807941" w:rsidRDefault="00807941" w:rsidP="00807941"/>
    <w:p w14:paraId="7A2B3626" w14:textId="77777777" w:rsidR="00807941" w:rsidRDefault="00807941" w:rsidP="00807941">
      <w:pPr>
        <w:keepNext/>
        <w:jc w:val="center"/>
      </w:pPr>
      <w:r>
        <w:object w:dxaOrig="16471" w:dyaOrig="11000" w14:anchorId="0D7F6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90.5pt" o:ole="">
            <v:imagedata r:id="rId13" o:title=""/>
          </v:shape>
          <o:OLEObject Type="Embed" ProgID="Visio.Drawing.15" ShapeID="_x0000_i1025" DrawAspect="Content" ObjectID="_1769861956" r:id="rId14"/>
        </w:object>
      </w:r>
    </w:p>
    <w:p w14:paraId="66C949A3" w14:textId="77777777" w:rsidR="00807941" w:rsidRPr="00807941" w:rsidRDefault="00807941" w:rsidP="00807941">
      <w:pPr>
        <w:pStyle w:val="Caption"/>
        <w:jc w:val="center"/>
        <w:rPr>
          <w:b w:val="0"/>
          <w:bCs w:val="0"/>
        </w:rPr>
      </w:pPr>
      <w:bookmarkStart w:id="4" w:name="_Ref159163563"/>
      <w:r w:rsidRPr="00807941">
        <w:rPr>
          <w:b w:val="0"/>
          <w:bCs w:val="0"/>
        </w:rPr>
        <w:t xml:space="preserve">Figure </w:t>
      </w:r>
      <w:r w:rsidRPr="00807941">
        <w:rPr>
          <w:b w:val="0"/>
          <w:bCs w:val="0"/>
        </w:rPr>
        <w:fldChar w:fldCharType="begin"/>
      </w:r>
      <w:r w:rsidRPr="00807941">
        <w:rPr>
          <w:b w:val="0"/>
          <w:bCs w:val="0"/>
        </w:rPr>
        <w:instrText xml:space="preserve"> SEQ Figure \* ARABIC </w:instrText>
      </w:r>
      <w:r w:rsidRPr="00807941">
        <w:rPr>
          <w:b w:val="0"/>
          <w:bCs w:val="0"/>
        </w:rPr>
        <w:fldChar w:fldCharType="separate"/>
      </w:r>
      <w:r w:rsidRPr="00807941">
        <w:rPr>
          <w:b w:val="0"/>
          <w:bCs w:val="0"/>
        </w:rPr>
        <w:t>1</w:t>
      </w:r>
      <w:r w:rsidRPr="00807941">
        <w:rPr>
          <w:b w:val="0"/>
          <w:bCs w:val="0"/>
        </w:rPr>
        <w:fldChar w:fldCharType="end"/>
      </w:r>
      <w:bookmarkEnd w:id="4"/>
      <w:r w:rsidRPr="00807941">
        <w:rPr>
          <w:b w:val="0"/>
          <w:bCs w:val="0"/>
        </w:rPr>
        <w:t xml:space="preserve"> Example of Energy Cost exchange between gNBs.</w:t>
      </w:r>
    </w:p>
    <w:p w14:paraId="531AD98A" w14:textId="77777777" w:rsidR="00807941" w:rsidRPr="007B2469" w:rsidRDefault="00807941" w:rsidP="00807941">
      <w:pPr>
        <w:rPr>
          <w:b/>
          <w:bCs/>
        </w:rPr>
      </w:pPr>
      <w:r w:rsidRPr="007B2469">
        <w:rPr>
          <w:b/>
          <w:bCs/>
        </w:rPr>
        <w:t>Q4: What are the aspects related to the mapping rule that should be made configurable? What should the mapping rule consider in mapping energy consumption values to the Energy Cost index?</w:t>
      </w:r>
    </w:p>
    <w:p w14:paraId="48186F7B" w14:textId="04AD94DC" w:rsidR="00807941" w:rsidRDefault="00807941" w:rsidP="00807941">
      <w:r w:rsidRPr="007B2469">
        <w:rPr>
          <w:b/>
          <w:bCs/>
        </w:rPr>
        <w:t>Answer 4</w:t>
      </w:r>
      <w:r>
        <w:t>: The mapping rule should enable an operator to configure gNBs with a condition or with a set of different conditions and associated weight(s),that should be used by them to evaluate and measure their energy consumption. In a simple case, a single condition can be configured to map hardware-related energy consumption with a unitary weight, in which case this would amount to an Energy Cost based on pure (hardware-related) energy consumption. In another alternative, multiple conditions can be configured at a gNB that could be related to hardware energy consumption (static component) as well as to a traffic distribution of UEs with an associated weight (dynamic component). In the second case, the Energy Cost will not only account for the pure hardware-related Energy Consumption, but also on the possible impacts of UE Traffic to a node depending on whether it is at the cell-border or cell-center.</w:t>
      </w:r>
    </w:p>
    <w:p w14:paraId="2901B8C1" w14:textId="77777777" w:rsidR="00476127" w:rsidRDefault="00476127" w:rsidP="00807941"/>
    <w:p w14:paraId="6C798E2F" w14:textId="500D4AF7" w:rsidR="00807941" w:rsidRPr="00476127" w:rsidRDefault="00807941" w:rsidP="00807941">
      <w:pPr>
        <w:rPr>
          <w:b/>
          <w:bCs/>
        </w:rPr>
      </w:pPr>
      <w:r w:rsidRPr="00476127">
        <w:rPr>
          <w:b/>
          <w:bCs/>
        </w:rPr>
        <w:lastRenderedPageBreak/>
        <w:t xml:space="preserve">Q5: </w:t>
      </w:r>
      <w:bookmarkStart w:id="5" w:name="_Hlk158237333"/>
      <w:r w:rsidRPr="00476127">
        <w:rPr>
          <w:b/>
          <w:bCs/>
        </w:rPr>
        <w:t>What are the requirements and/or use cases for the usage of Energy Cost Index (e.g., usage of Energy Cost Index in the recipient gNB)?</w:t>
      </w:r>
      <w:bookmarkEnd w:id="5"/>
      <w:r w:rsidRPr="00476127">
        <w:rPr>
          <w:b/>
          <w:bCs/>
        </w:rPr>
        <w:t xml:space="preserve"> </w:t>
      </w:r>
    </w:p>
    <w:p w14:paraId="0E508C60" w14:textId="44899CD7" w:rsidR="00807941" w:rsidRDefault="00807941" w:rsidP="00807941">
      <w:r w:rsidRPr="00476127">
        <w:rPr>
          <w:b/>
          <w:bCs/>
        </w:rPr>
        <w:t>Answer 5</w:t>
      </w:r>
      <w:r>
        <w:t xml:space="preserve">: The use case that we try to address by the introduction of an Energy Cost Index is switching-off a cell and offloading of its traffic to its neighbouring nodes (e.g., switch off a capacity cell and offloading of all the traffic to the neighbouring coverage cells). The requirement is that the gNB receiving the Energy Cost information from different neighbour gNBs </w:t>
      </w:r>
      <w:r w:rsidR="003F10AB">
        <w:t>is</w:t>
      </w:r>
      <w:r>
        <w:t xml:space="preserve"> able to directly compare the information without additional mapping or conversion needed.</w:t>
      </w:r>
    </w:p>
    <w:p w14:paraId="1CAE15A2" w14:textId="77777777" w:rsidR="00807941" w:rsidRDefault="00807941" w:rsidP="00807941"/>
    <w:p w14:paraId="4325F68C" w14:textId="26D6E223" w:rsidR="00807941" w:rsidRPr="00807941" w:rsidRDefault="00807941" w:rsidP="00807941">
      <w:pPr>
        <w:rPr>
          <w:b/>
          <w:bCs/>
        </w:rPr>
      </w:pPr>
      <w:r w:rsidRPr="00807941">
        <w:rPr>
          <w:b/>
          <w:bCs/>
        </w:rPr>
        <w:t>Q6: What are the requirements for the mapping rule? Should the mapping rule be same for all the gNBs in a given area?</w:t>
      </w:r>
    </w:p>
    <w:p w14:paraId="22703121" w14:textId="77777777" w:rsidR="00807941" w:rsidRDefault="00807941" w:rsidP="00807941">
      <w:r w:rsidRPr="00807941">
        <w:rPr>
          <w:b/>
          <w:bCs/>
        </w:rPr>
        <w:t>Answer 6</w:t>
      </w:r>
      <w:r>
        <w:t xml:space="preserve">: </w:t>
      </w:r>
      <w:r w:rsidRPr="005B06F2">
        <w:t>Yes the mapping rule should be the same across all gNBs in a given area</w:t>
      </w:r>
      <w:r>
        <w:t xml:space="preserve"> where an AI/ML Energy Saving action is initiated</w:t>
      </w:r>
      <w:r w:rsidRPr="005B06F2">
        <w:t>.</w:t>
      </w:r>
      <w:r>
        <w:t xml:space="preserve"> Since</w:t>
      </w:r>
      <w:r w:rsidRPr="00DF6560">
        <w:t xml:space="preserve"> multiple conditions can be configured at a gNB, the same conditions may not necessarily be applicable to all gNBs within the area. The requirement on the mapping rule is therefore that E</w:t>
      </w:r>
      <w:r>
        <w:t>nergy Cost</w:t>
      </w:r>
      <w:r w:rsidRPr="00DF6560">
        <w:t xml:space="preserve"> information resulting from the mapping rule is comparable by gNBs located throughout the considered area</w:t>
      </w:r>
      <w:r>
        <w:t>. In one extreme those rules could be unique across PLMN, however this is unnecessarily restrictive; it suffices that they are the same for all neighbouring gNBs within the area where the request for Energy Cost is triggered by a gNB.</w:t>
      </w:r>
    </w:p>
    <w:p w14:paraId="70C3E937" w14:textId="77777777" w:rsidR="00807941" w:rsidRDefault="00807941" w:rsidP="00807941"/>
    <w:p w14:paraId="4519716A" w14:textId="1449DD85" w:rsidR="00807941" w:rsidRPr="00807941" w:rsidRDefault="00807941" w:rsidP="00807941">
      <w:pPr>
        <w:rPr>
          <w:b/>
          <w:bCs/>
        </w:rPr>
      </w:pPr>
      <w:r w:rsidRPr="00807941">
        <w:rPr>
          <w:b/>
          <w:bCs/>
        </w:rPr>
        <w:t>Q7: Should the ‘time interval’ have the same value for all gNBs in a defined area or can the gNBs in the defined area have different values for the ‘time interval’?</w:t>
      </w:r>
    </w:p>
    <w:p w14:paraId="674316BC" w14:textId="1B5DF7E4" w:rsidR="00807941" w:rsidRPr="00807941" w:rsidRDefault="00807941" w:rsidP="00807941">
      <w:pPr>
        <w:pStyle w:val="00BodyText"/>
        <w:spacing w:after="0"/>
        <w:rPr>
          <w:rFonts w:ascii="Times New Roman" w:hAnsi="Times New Roman"/>
          <w:sz w:val="20"/>
          <w:lang w:val="en-GB"/>
        </w:rPr>
      </w:pPr>
      <w:r w:rsidRPr="00807941">
        <w:rPr>
          <w:rFonts w:ascii="Times New Roman" w:hAnsi="Times New Roman"/>
          <w:b/>
          <w:bCs/>
          <w:sz w:val="20"/>
          <w:lang w:val="en-GB"/>
        </w:rPr>
        <w:t>Answer 7</w:t>
      </w:r>
      <w:r w:rsidRPr="00807941">
        <w:rPr>
          <w:rFonts w:ascii="Times New Roman" w:hAnsi="Times New Roman"/>
          <w:sz w:val="20"/>
          <w:lang w:val="en-GB"/>
        </w:rPr>
        <w:t>: The time interval selection is up to operator to define, but RAN3 would assume</w:t>
      </w:r>
      <w:r w:rsidR="004F6C77">
        <w:rPr>
          <w:rFonts w:ascii="Times New Roman" w:hAnsi="Times New Roman"/>
          <w:sz w:val="20"/>
          <w:lang w:val="en-GB"/>
        </w:rPr>
        <w:t xml:space="preserve"> that</w:t>
      </w:r>
      <w:r w:rsidRPr="00807941">
        <w:rPr>
          <w:rFonts w:ascii="Times New Roman" w:hAnsi="Times New Roman"/>
          <w:sz w:val="20"/>
          <w:lang w:val="en-GB"/>
        </w:rPr>
        <w:t xml:space="preserve"> the same time interval </w:t>
      </w:r>
      <w:r w:rsidR="004F6C77">
        <w:rPr>
          <w:rFonts w:ascii="Times New Roman" w:hAnsi="Times New Roman"/>
          <w:sz w:val="20"/>
          <w:lang w:val="en-GB"/>
        </w:rPr>
        <w:t xml:space="preserve">is </w:t>
      </w:r>
      <w:r w:rsidRPr="00807941">
        <w:rPr>
          <w:rFonts w:ascii="Times New Roman" w:hAnsi="Times New Roman"/>
          <w:sz w:val="20"/>
          <w:lang w:val="en-GB"/>
        </w:rPr>
        <w:t xml:space="preserve">configured for all gNBs within the defined area. It may have the same value for all gNBs in the defined area if for example the operator would like to monitor </w:t>
      </w:r>
      <w:r w:rsidR="004F6C77">
        <w:rPr>
          <w:rFonts w:ascii="Times New Roman" w:hAnsi="Times New Roman"/>
          <w:sz w:val="20"/>
          <w:lang w:val="en-GB"/>
        </w:rPr>
        <w:t xml:space="preserve">a </w:t>
      </w:r>
      <w:r w:rsidRPr="00807941">
        <w:rPr>
          <w:rFonts w:ascii="Times New Roman" w:hAnsi="Times New Roman"/>
          <w:sz w:val="20"/>
          <w:lang w:val="en-GB"/>
        </w:rPr>
        <w:t>certain</w:t>
      </w:r>
      <w:r w:rsidR="00415F83">
        <w:rPr>
          <w:rFonts w:ascii="Times New Roman" w:hAnsi="Times New Roman"/>
          <w:sz w:val="20"/>
          <w:lang w:val="en-GB"/>
        </w:rPr>
        <w:t xml:space="preserve"> </w:t>
      </w:r>
      <w:r w:rsidRPr="00807941">
        <w:rPr>
          <w:rFonts w:ascii="Times New Roman" w:hAnsi="Times New Roman"/>
          <w:sz w:val="20"/>
          <w:lang w:val="en-GB"/>
        </w:rPr>
        <w:t xml:space="preserve">behavior. If the operator is interested to monitor more of an average behavior it could select longer time intervals which would enable to smoothen the measured </w:t>
      </w:r>
      <w:r w:rsidR="00E64CD7">
        <w:rPr>
          <w:rFonts w:ascii="Times New Roman" w:hAnsi="Times New Roman"/>
          <w:sz w:val="20"/>
          <w:lang w:val="en-GB"/>
        </w:rPr>
        <w:t>values</w:t>
      </w:r>
      <w:r w:rsidRPr="00807941">
        <w:rPr>
          <w:rFonts w:ascii="Times New Roman" w:hAnsi="Times New Roman"/>
          <w:sz w:val="20"/>
          <w:lang w:val="en-GB"/>
        </w:rPr>
        <w:t>. If the operator is interested to monitor more</w:t>
      </w:r>
      <w:r w:rsidR="00415F83">
        <w:rPr>
          <w:rFonts w:ascii="Times New Roman" w:hAnsi="Times New Roman"/>
          <w:sz w:val="20"/>
          <w:lang w:val="en-GB"/>
        </w:rPr>
        <w:t xml:space="preserve"> of an</w:t>
      </w:r>
      <w:r w:rsidRPr="00807941">
        <w:rPr>
          <w:rFonts w:ascii="Times New Roman" w:hAnsi="Times New Roman"/>
          <w:sz w:val="20"/>
          <w:lang w:val="en-GB"/>
        </w:rPr>
        <w:t xml:space="preserve"> instantaneous behavior of a node then it could select a shorter time interval.</w:t>
      </w:r>
    </w:p>
    <w:p w14:paraId="46DC59B0" w14:textId="3F76107B" w:rsidR="00945C14" w:rsidRPr="00807941" w:rsidRDefault="00945C14" w:rsidP="00945C14">
      <w:pPr>
        <w:pStyle w:val="00BodyText"/>
        <w:spacing w:after="0"/>
        <w:rPr>
          <w:rFonts w:ascii="Times New Roman" w:hAnsi="Times New Roman"/>
          <w:sz w:val="20"/>
          <w:lang w:val="en-GB"/>
        </w:rPr>
      </w:pPr>
    </w:p>
    <w:bookmarkEnd w:id="2"/>
    <w:p w14:paraId="7419AD3F" w14:textId="50627848" w:rsidR="007645EF" w:rsidRPr="007645EF" w:rsidRDefault="007645EF" w:rsidP="007645EF">
      <w:pPr>
        <w:spacing w:after="120"/>
        <w:rPr>
          <w:rFonts w:ascii="Calibri" w:hAnsi="Calibri" w:cs="Arial"/>
          <w:sz w:val="22"/>
          <w:szCs w:val="22"/>
        </w:rPr>
      </w:pPr>
      <w:r w:rsidRPr="007645EF">
        <w:rPr>
          <w:rFonts w:ascii="Calibri" w:hAnsi="Calibri" w:cs="Arial"/>
          <w:sz w:val="22"/>
          <w:szCs w:val="22"/>
        </w:rPr>
        <w:t xml:space="preserve"> </w:t>
      </w:r>
    </w:p>
    <w:p w14:paraId="1818356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1CCBD277" w14:textId="517D3BD4" w:rsidR="0070149E" w:rsidRPr="0070149E" w:rsidRDefault="007645EF" w:rsidP="0070149E">
      <w:pPr>
        <w:spacing w:after="120"/>
        <w:ind w:left="1134" w:hanging="1134"/>
        <w:jc w:val="both"/>
        <w:rPr>
          <w:b/>
          <w:bC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RAN3 would like</w:t>
      </w:r>
      <w:r w:rsidR="00586780">
        <w:rPr>
          <w:b/>
          <w:bCs/>
        </w:rPr>
        <w:t xml:space="preserve"> </w:t>
      </w:r>
      <w:r w:rsidR="0020616C">
        <w:rPr>
          <w:b/>
          <w:bCs/>
        </w:rPr>
        <w:t xml:space="preserve">to </w:t>
      </w:r>
      <w:r w:rsidR="00586780">
        <w:rPr>
          <w:b/>
          <w:bCs/>
        </w:rPr>
        <w:t xml:space="preserve">ask SA5 to take the above answers to their questions into account </w:t>
      </w:r>
      <w:r w:rsidR="00994F43">
        <w:rPr>
          <w:b/>
          <w:bCs/>
        </w:rPr>
        <w:t xml:space="preserve">in their work on </w:t>
      </w:r>
      <w:r w:rsidR="0045718B">
        <w:rPr>
          <w:b/>
          <w:bCs/>
        </w:rPr>
        <w:t xml:space="preserve">OAM support for </w:t>
      </w:r>
      <w:r w:rsidR="007A4119">
        <w:rPr>
          <w:b/>
          <w:bCs/>
        </w:rPr>
        <w:t xml:space="preserve">energy cost mapping rules, </w:t>
      </w:r>
      <w:r w:rsidR="00586780">
        <w:rPr>
          <w:b/>
          <w:bCs/>
        </w:rPr>
        <w:t xml:space="preserve">and provide further feedback if required. </w:t>
      </w:r>
    </w:p>
    <w:p w14:paraId="5802C876" w14:textId="77777777" w:rsidR="0070149E" w:rsidRPr="0070149E" w:rsidRDefault="0070149E" w:rsidP="0020616C">
      <w:pPr>
        <w:spacing w:after="120"/>
        <w:ind w:left="1134" w:hanging="1134"/>
        <w:jc w:val="both"/>
        <w:rPr>
          <w:b/>
          <w:bCs/>
          <w:lang w:val="en-US"/>
        </w:rPr>
      </w:pPr>
    </w:p>
    <w:p w14:paraId="1092B015" w14:textId="77777777" w:rsidR="0020616C" w:rsidRPr="007645EF" w:rsidRDefault="0020616C" w:rsidP="004166A5">
      <w:pPr>
        <w:spacing w:after="120"/>
        <w:jc w:val="both"/>
        <w:rPr>
          <w:rFonts w:ascii="Calibri" w:hAnsi="Calibri" w:cs="Arial"/>
          <w:sz w:val="22"/>
          <w:szCs w:val="22"/>
        </w:rPr>
      </w:pPr>
    </w:p>
    <w:p w14:paraId="4D7D982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6200DFE9" w14:textId="0C5B1C7E" w:rsidR="00D460DF" w:rsidRPr="00D676CD" w:rsidRDefault="00D460DF" w:rsidP="00D460DF">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3-bis</w:t>
      </w:r>
      <w:r>
        <w:rPr>
          <w:rFonts w:ascii="Arial" w:hAnsi="Arial" w:cs="Arial"/>
          <w:bCs/>
          <w:lang w:val="en-US"/>
        </w:rPr>
        <w:tab/>
      </w:r>
      <w:r>
        <w:rPr>
          <w:rFonts w:ascii="Arial" w:hAnsi="Arial" w:cs="Arial"/>
          <w:bCs/>
          <w:lang w:val="en-US"/>
        </w:rPr>
        <w:tab/>
        <w:t xml:space="preserve">15 April – 19 April,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Pr>
          <w:rFonts w:ascii="Arial" w:hAnsi="Arial" w:cs="Arial"/>
          <w:bCs/>
          <w:lang w:val="en-US"/>
        </w:rPr>
        <w:tab/>
        <w:t xml:space="preserve">     </w:t>
      </w:r>
      <w:r w:rsidR="00E934CB">
        <w:rPr>
          <w:rFonts w:ascii="Arial" w:hAnsi="Arial" w:cs="Arial"/>
          <w:bCs/>
          <w:lang w:val="en-US"/>
        </w:rPr>
        <w:t xml:space="preserve">Changsha, </w:t>
      </w:r>
      <w:r>
        <w:rPr>
          <w:rFonts w:ascii="Arial" w:hAnsi="Arial" w:cs="Arial"/>
          <w:bCs/>
          <w:lang w:val="en-US"/>
        </w:rPr>
        <w:t>China</w:t>
      </w:r>
    </w:p>
    <w:p w14:paraId="2314D624" w14:textId="517C1C15" w:rsidR="00E934CB" w:rsidRPr="00D676CD" w:rsidRDefault="00E934CB" w:rsidP="00E934CB">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4</w:t>
      </w:r>
      <w:r>
        <w:rPr>
          <w:rFonts w:ascii="Arial" w:hAnsi="Arial" w:cs="Arial"/>
          <w:bCs/>
          <w:lang w:val="en-US"/>
        </w:rPr>
        <w:tab/>
      </w:r>
      <w:r>
        <w:rPr>
          <w:rFonts w:ascii="Arial" w:hAnsi="Arial" w:cs="Arial"/>
          <w:bCs/>
          <w:lang w:val="en-US"/>
        </w:rPr>
        <w:tab/>
        <w:t>2</w:t>
      </w:r>
      <w:r w:rsidR="00AC212A">
        <w:rPr>
          <w:rFonts w:ascii="Arial" w:hAnsi="Arial" w:cs="Arial"/>
          <w:bCs/>
          <w:lang w:val="en-US"/>
        </w:rPr>
        <w:t>0</w:t>
      </w:r>
      <w:r>
        <w:rPr>
          <w:rFonts w:ascii="Arial" w:hAnsi="Arial" w:cs="Arial"/>
          <w:bCs/>
          <w:lang w:val="en-US"/>
        </w:rPr>
        <w:t xml:space="preserve"> </w:t>
      </w:r>
      <w:r w:rsidR="00AC212A">
        <w:rPr>
          <w:rFonts w:ascii="Arial" w:hAnsi="Arial" w:cs="Arial"/>
          <w:bCs/>
          <w:lang w:val="en-US"/>
        </w:rPr>
        <w:t>May</w:t>
      </w:r>
      <w:r>
        <w:rPr>
          <w:rFonts w:ascii="Arial" w:hAnsi="Arial" w:cs="Arial"/>
          <w:bCs/>
          <w:lang w:val="en-US"/>
        </w:rPr>
        <w:t xml:space="preserve"> – </w:t>
      </w:r>
      <w:r w:rsidR="00AC212A">
        <w:rPr>
          <w:rFonts w:ascii="Arial" w:hAnsi="Arial" w:cs="Arial"/>
          <w:bCs/>
          <w:lang w:val="en-US"/>
        </w:rPr>
        <w:t>24</w:t>
      </w:r>
      <w:r>
        <w:rPr>
          <w:rFonts w:ascii="Arial" w:hAnsi="Arial" w:cs="Arial"/>
          <w:bCs/>
          <w:lang w:val="en-US"/>
        </w:rPr>
        <w:t xml:space="preserve"> M</w:t>
      </w:r>
      <w:r w:rsidR="00AC212A">
        <w:rPr>
          <w:rFonts w:ascii="Arial" w:hAnsi="Arial" w:cs="Arial"/>
          <w:bCs/>
          <w:lang w:val="en-US"/>
        </w:rPr>
        <w:t>ay</w:t>
      </w:r>
      <w:r>
        <w:rPr>
          <w:rFonts w:ascii="Arial" w:hAnsi="Arial" w:cs="Arial"/>
          <w:bCs/>
          <w:lang w:val="en-US"/>
        </w:rPr>
        <w:t xml:space="preserve">,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sidR="00AC212A">
        <w:rPr>
          <w:rFonts w:ascii="Arial" w:hAnsi="Arial" w:cs="Arial"/>
          <w:bCs/>
          <w:lang w:val="en-US"/>
        </w:rPr>
        <w:tab/>
      </w:r>
      <w:r w:rsidR="00AC212A">
        <w:rPr>
          <w:rFonts w:ascii="Arial" w:hAnsi="Arial" w:cs="Arial"/>
          <w:bCs/>
          <w:lang w:val="en-US"/>
        </w:rPr>
        <w:tab/>
      </w:r>
      <w:r>
        <w:rPr>
          <w:rFonts w:ascii="Arial" w:hAnsi="Arial" w:cs="Arial"/>
          <w:bCs/>
          <w:lang w:val="en-US"/>
        </w:rPr>
        <w:t>Fukuoka, Japan</w:t>
      </w:r>
    </w:p>
    <w:p w14:paraId="5CAF3973" w14:textId="77777777" w:rsidR="007645EF" w:rsidRPr="007645EF" w:rsidRDefault="007645EF" w:rsidP="00606DA9">
      <w:pPr>
        <w:overflowPunct w:val="0"/>
        <w:autoSpaceDE w:val="0"/>
        <w:autoSpaceDN w:val="0"/>
        <w:adjustRightInd w:val="0"/>
        <w:ind w:left="567" w:hanging="567"/>
        <w:textAlignment w:val="baseline"/>
        <w:rPr>
          <w:lang w:val="en-US"/>
        </w:rPr>
      </w:pPr>
    </w:p>
    <w:p w14:paraId="18B8BFF7" w14:textId="77777777" w:rsidR="007645EF" w:rsidRDefault="007645EF" w:rsidP="00606DA9">
      <w:pPr>
        <w:overflowPunct w:val="0"/>
        <w:autoSpaceDE w:val="0"/>
        <w:autoSpaceDN w:val="0"/>
        <w:adjustRightInd w:val="0"/>
        <w:ind w:left="567" w:hanging="567"/>
        <w:textAlignment w:val="baseline"/>
      </w:pPr>
    </w:p>
    <w:p w14:paraId="65DF388A" w14:textId="77777777" w:rsidR="00F16DBA" w:rsidRDefault="00F16DBA" w:rsidP="00F16DBA">
      <w:pPr>
        <w:overflowPunct w:val="0"/>
        <w:autoSpaceDE w:val="0"/>
        <w:autoSpaceDN w:val="0"/>
        <w:adjustRightInd w:val="0"/>
        <w:spacing w:after="180"/>
        <w:ind w:left="567" w:hanging="567"/>
        <w:textAlignment w:val="baseline"/>
      </w:pPr>
    </w:p>
    <w:p w14:paraId="7CE6ECB7"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9F7FE" w14:textId="77777777" w:rsidR="00DD2038" w:rsidRDefault="00DD2038">
      <w:r>
        <w:separator/>
      </w:r>
    </w:p>
  </w:endnote>
  <w:endnote w:type="continuationSeparator" w:id="0">
    <w:p w14:paraId="027FC626" w14:textId="77777777" w:rsidR="00DD2038" w:rsidRDefault="00DD2038">
      <w:r>
        <w:continuationSeparator/>
      </w:r>
    </w:p>
  </w:endnote>
  <w:endnote w:type="continuationNotice" w:id="1">
    <w:p w14:paraId="2F4519DA" w14:textId="77777777" w:rsidR="00DD2038" w:rsidRDefault="00DD2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9BD3" w14:textId="77777777" w:rsidR="00DD2038" w:rsidRDefault="00DD2038">
      <w:r>
        <w:separator/>
      </w:r>
    </w:p>
  </w:footnote>
  <w:footnote w:type="continuationSeparator" w:id="0">
    <w:p w14:paraId="5790AFB3" w14:textId="77777777" w:rsidR="00DD2038" w:rsidRDefault="00DD2038">
      <w:r>
        <w:continuationSeparator/>
      </w:r>
    </w:p>
  </w:footnote>
  <w:footnote w:type="continuationNotice" w:id="1">
    <w:p w14:paraId="0330482E" w14:textId="77777777" w:rsidR="00DD2038" w:rsidRDefault="00DD20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7"/>
  </w:num>
  <w:num w:numId="5" w16cid:durableId="400442130">
    <w:abstractNumId w:val="36"/>
  </w:num>
  <w:num w:numId="6" w16cid:durableId="424614679">
    <w:abstractNumId w:val="33"/>
  </w:num>
  <w:num w:numId="7" w16cid:durableId="86773359">
    <w:abstractNumId w:val="22"/>
  </w:num>
  <w:num w:numId="8" w16cid:durableId="2063407452">
    <w:abstractNumId w:val="11"/>
  </w:num>
  <w:num w:numId="9" w16cid:durableId="168524786">
    <w:abstractNumId w:val="30"/>
  </w:num>
  <w:num w:numId="10" w16cid:durableId="1244947966">
    <w:abstractNumId w:val="21"/>
  </w:num>
  <w:num w:numId="11" w16cid:durableId="165558062">
    <w:abstractNumId w:val="9"/>
  </w:num>
  <w:num w:numId="12" w16cid:durableId="573009919">
    <w:abstractNumId w:val="7"/>
  </w:num>
  <w:num w:numId="13" w16cid:durableId="1572036064">
    <w:abstractNumId w:val="6"/>
  </w:num>
  <w:num w:numId="14" w16cid:durableId="524833816">
    <w:abstractNumId w:val="5"/>
  </w:num>
  <w:num w:numId="15" w16cid:durableId="1722947251">
    <w:abstractNumId w:val="4"/>
  </w:num>
  <w:num w:numId="16" w16cid:durableId="104927563">
    <w:abstractNumId w:val="8"/>
  </w:num>
  <w:num w:numId="17" w16cid:durableId="323748950">
    <w:abstractNumId w:val="3"/>
  </w:num>
  <w:num w:numId="18" w16cid:durableId="528184209">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655130">
    <w:abstractNumId w:val="13"/>
  </w:num>
  <w:num w:numId="20" w16cid:durableId="1007370832">
    <w:abstractNumId w:val="35"/>
  </w:num>
  <w:num w:numId="21" w16cid:durableId="1080952387">
    <w:abstractNumId w:val="28"/>
  </w:num>
  <w:num w:numId="22" w16cid:durableId="1952784290">
    <w:abstractNumId w:val="29"/>
  </w:num>
  <w:num w:numId="23" w16cid:durableId="1355226552">
    <w:abstractNumId w:val="23"/>
  </w:num>
  <w:num w:numId="24" w16cid:durableId="1420903905">
    <w:abstractNumId w:val="31"/>
  </w:num>
  <w:num w:numId="25" w16cid:durableId="174811120">
    <w:abstractNumId w:val="38"/>
  </w:num>
  <w:num w:numId="26" w16cid:durableId="735395659">
    <w:abstractNumId w:val="24"/>
  </w:num>
  <w:num w:numId="27" w16cid:durableId="1655791075">
    <w:abstractNumId w:val="37"/>
  </w:num>
  <w:num w:numId="28" w16cid:durableId="504587672">
    <w:abstractNumId w:val="40"/>
  </w:num>
  <w:num w:numId="29" w16cid:durableId="1428387465">
    <w:abstractNumId w:val="17"/>
  </w:num>
  <w:num w:numId="30" w16cid:durableId="1101728913">
    <w:abstractNumId w:val="39"/>
  </w:num>
  <w:num w:numId="31" w16cid:durableId="1000042549">
    <w:abstractNumId w:val="26"/>
  </w:num>
  <w:num w:numId="32" w16cid:durableId="1637832551">
    <w:abstractNumId w:val="19"/>
  </w:num>
  <w:num w:numId="33" w16cid:durableId="1493521111">
    <w:abstractNumId w:val="16"/>
  </w:num>
  <w:num w:numId="34" w16cid:durableId="147397966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48487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202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0509258">
    <w:abstractNumId w:val="15"/>
  </w:num>
  <w:num w:numId="38" w16cid:durableId="1887600620">
    <w:abstractNumId w:val="2"/>
  </w:num>
  <w:num w:numId="39" w16cid:durableId="1312978135">
    <w:abstractNumId w:val="1"/>
  </w:num>
  <w:num w:numId="40" w16cid:durableId="557135849">
    <w:abstractNumId w:val="0"/>
  </w:num>
  <w:num w:numId="41" w16cid:durableId="527763522">
    <w:abstractNumId w:val="42"/>
  </w:num>
  <w:num w:numId="42" w16cid:durableId="229997777">
    <w:abstractNumId w:val="34"/>
  </w:num>
  <w:num w:numId="43" w16cid:durableId="703823609">
    <w:abstractNumId w:val="18"/>
  </w:num>
  <w:num w:numId="44" w16cid:durableId="1799881386">
    <w:abstractNumId w:val="25"/>
  </w:num>
  <w:num w:numId="45" w16cid:durableId="1616710848">
    <w:abstractNumId w:val="32"/>
  </w:num>
  <w:num w:numId="46" w16cid:durableId="1110736423">
    <w:abstractNumId w:val="14"/>
  </w:num>
  <w:num w:numId="47" w16cid:durableId="12889761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308A"/>
    <w:rsid w:val="00024F1A"/>
    <w:rsid w:val="00033397"/>
    <w:rsid w:val="000342C7"/>
    <w:rsid w:val="00040095"/>
    <w:rsid w:val="00047A26"/>
    <w:rsid w:val="0005563E"/>
    <w:rsid w:val="00060E80"/>
    <w:rsid w:val="000610BB"/>
    <w:rsid w:val="00067260"/>
    <w:rsid w:val="00071A5D"/>
    <w:rsid w:val="000775E9"/>
    <w:rsid w:val="000804F0"/>
    <w:rsid w:val="00080512"/>
    <w:rsid w:val="00086594"/>
    <w:rsid w:val="00094ABD"/>
    <w:rsid w:val="000A06DE"/>
    <w:rsid w:val="000A730E"/>
    <w:rsid w:val="000B10B9"/>
    <w:rsid w:val="000B3595"/>
    <w:rsid w:val="000B7BCF"/>
    <w:rsid w:val="000C0D3B"/>
    <w:rsid w:val="000C2CCF"/>
    <w:rsid w:val="000C39CA"/>
    <w:rsid w:val="000C556D"/>
    <w:rsid w:val="000D14FC"/>
    <w:rsid w:val="000D3F37"/>
    <w:rsid w:val="000D58AB"/>
    <w:rsid w:val="000D6E79"/>
    <w:rsid w:val="000E76D2"/>
    <w:rsid w:val="00104688"/>
    <w:rsid w:val="0010740A"/>
    <w:rsid w:val="00107C91"/>
    <w:rsid w:val="00112E55"/>
    <w:rsid w:val="0011429F"/>
    <w:rsid w:val="00116F2F"/>
    <w:rsid w:val="001332F0"/>
    <w:rsid w:val="001358E0"/>
    <w:rsid w:val="00142A39"/>
    <w:rsid w:val="0015264A"/>
    <w:rsid w:val="001549DD"/>
    <w:rsid w:val="00160387"/>
    <w:rsid w:val="00175C7A"/>
    <w:rsid w:val="00184AE7"/>
    <w:rsid w:val="00187D8E"/>
    <w:rsid w:val="00194CD0"/>
    <w:rsid w:val="001A0398"/>
    <w:rsid w:val="001A117E"/>
    <w:rsid w:val="001B2014"/>
    <w:rsid w:val="001B5A2A"/>
    <w:rsid w:val="001C0382"/>
    <w:rsid w:val="001C372B"/>
    <w:rsid w:val="001C4281"/>
    <w:rsid w:val="001D3111"/>
    <w:rsid w:val="001F168B"/>
    <w:rsid w:val="00200905"/>
    <w:rsid w:val="00204A7C"/>
    <w:rsid w:val="0020616C"/>
    <w:rsid w:val="00207067"/>
    <w:rsid w:val="00217C4F"/>
    <w:rsid w:val="002200B7"/>
    <w:rsid w:val="0022012C"/>
    <w:rsid w:val="002248D4"/>
    <w:rsid w:val="0022606D"/>
    <w:rsid w:val="002276CE"/>
    <w:rsid w:val="00231672"/>
    <w:rsid w:val="00235E05"/>
    <w:rsid w:val="00241A86"/>
    <w:rsid w:val="002424FE"/>
    <w:rsid w:val="00243BC7"/>
    <w:rsid w:val="002460C4"/>
    <w:rsid w:val="00252BC6"/>
    <w:rsid w:val="0025479C"/>
    <w:rsid w:val="00255BB2"/>
    <w:rsid w:val="002602B1"/>
    <w:rsid w:val="002747EC"/>
    <w:rsid w:val="00275BF7"/>
    <w:rsid w:val="002855BF"/>
    <w:rsid w:val="00293E16"/>
    <w:rsid w:val="002A7C5C"/>
    <w:rsid w:val="002A7DF2"/>
    <w:rsid w:val="002B5518"/>
    <w:rsid w:val="002C0B78"/>
    <w:rsid w:val="002C23F2"/>
    <w:rsid w:val="002E1692"/>
    <w:rsid w:val="002E3BCC"/>
    <w:rsid w:val="002E5D2F"/>
    <w:rsid w:val="002E5F3C"/>
    <w:rsid w:val="002E5FE0"/>
    <w:rsid w:val="002F0D22"/>
    <w:rsid w:val="003111EA"/>
    <w:rsid w:val="003139CE"/>
    <w:rsid w:val="0031679A"/>
    <w:rsid w:val="00316C0B"/>
    <w:rsid w:val="003172DC"/>
    <w:rsid w:val="00326069"/>
    <w:rsid w:val="0033431E"/>
    <w:rsid w:val="003454FC"/>
    <w:rsid w:val="00353DCC"/>
    <w:rsid w:val="0035462D"/>
    <w:rsid w:val="00356344"/>
    <w:rsid w:val="00365DEC"/>
    <w:rsid w:val="00385395"/>
    <w:rsid w:val="0038606B"/>
    <w:rsid w:val="003905E1"/>
    <w:rsid w:val="003920AE"/>
    <w:rsid w:val="003B3DFF"/>
    <w:rsid w:val="003B3FB3"/>
    <w:rsid w:val="003B69E5"/>
    <w:rsid w:val="003C4477"/>
    <w:rsid w:val="003C48A5"/>
    <w:rsid w:val="003C4E37"/>
    <w:rsid w:val="003D173D"/>
    <w:rsid w:val="003D6F03"/>
    <w:rsid w:val="003E16BE"/>
    <w:rsid w:val="003E3F8C"/>
    <w:rsid w:val="003F10AB"/>
    <w:rsid w:val="003F1CD3"/>
    <w:rsid w:val="0040182F"/>
    <w:rsid w:val="00401855"/>
    <w:rsid w:val="0040299A"/>
    <w:rsid w:val="00415F83"/>
    <w:rsid w:val="004166A5"/>
    <w:rsid w:val="00423C1A"/>
    <w:rsid w:val="004245B4"/>
    <w:rsid w:val="00432B60"/>
    <w:rsid w:val="004333B0"/>
    <w:rsid w:val="004533AA"/>
    <w:rsid w:val="0045718B"/>
    <w:rsid w:val="00461244"/>
    <w:rsid w:val="00463A82"/>
    <w:rsid w:val="00463D73"/>
    <w:rsid w:val="00464695"/>
    <w:rsid w:val="00473B42"/>
    <w:rsid w:val="004756FC"/>
    <w:rsid w:val="00476127"/>
    <w:rsid w:val="00477D27"/>
    <w:rsid w:val="00480DEC"/>
    <w:rsid w:val="00482419"/>
    <w:rsid w:val="004A1D70"/>
    <w:rsid w:val="004A775B"/>
    <w:rsid w:val="004C394C"/>
    <w:rsid w:val="004D11AA"/>
    <w:rsid w:val="004D3578"/>
    <w:rsid w:val="004D380D"/>
    <w:rsid w:val="004D3F58"/>
    <w:rsid w:val="004D5E47"/>
    <w:rsid w:val="004D7C00"/>
    <w:rsid w:val="004E213A"/>
    <w:rsid w:val="004E27D7"/>
    <w:rsid w:val="004E3B9F"/>
    <w:rsid w:val="004E453B"/>
    <w:rsid w:val="004E5E3A"/>
    <w:rsid w:val="004E66D9"/>
    <w:rsid w:val="004F144E"/>
    <w:rsid w:val="004F348C"/>
    <w:rsid w:val="004F3668"/>
    <w:rsid w:val="004F3B31"/>
    <w:rsid w:val="004F3F32"/>
    <w:rsid w:val="004F496C"/>
    <w:rsid w:val="004F6C77"/>
    <w:rsid w:val="00502BAB"/>
    <w:rsid w:val="00503171"/>
    <w:rsid w:val="005153FE"/>
    <w:rsid w:val="005175ED"/>
    <w:rsid w:val="00520411"/>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780"/>
    <w:rsid w:val="00586A56"/>
    <w:rsid w:val="005924AC"/>
    <w:rsid w:val="00594391"/>
    <w:rsid w:val="005A78D0"/>
    <w:rsid w:val="005B0F78"/>
    <w:rsid w:val="005B1232"/>
    <w:rsid w:val="005B2684"/>
    <w:rsid w:val="005B29DA"/>
    <w:rsid w:val="005C0E82"/>
    <w:rsid w:val="005C2F0D"/>
    <w:rsid w:val="005C5B4F"/>
    <w:rsid w:val="005D4274"/>
    <w:rsid w:val="005D4C7B"/>
    <w:rsid w:val="005D6DC8"/>
    <w:rsid w:val="005E742C"/>
    <w:rsid w:val="005F400D"/>
    <w:rsid w:val="00606DA9"/>
    <w:rsid w:val="006077BF"/>
    <w:rsid w:val="00607D4D"/>
    <w:rsid w:val="00611566"/>
    <w:rsid w:val="00623889"/>
    <w:rsid w:val="0064056C"/>
    <w:rsid w:val="00644ED7"/>
    <w:rsid w:val="00646876"/>
    <w:rsid w:val="0064761E"/>
    <w:rsid w:val="00655D6C"/>
    <w:rsid w:val="00656E1E"/>
    <w:rsid w:val="006636DE"/>
    <w:rsid w:val="006653AF"/>
    <w:rsid w:val="00684897"/>
    <w:rsid w:val="006848F1"/>
    <w:rsid w:val="00690670"/>
    <w:rsid w:val="00697EAA"/>
    <w:rsid w:val="006A2CB7"/>
    <w:rsid w:val="006B1E42"/>
    <w:rsid w:val="006B468F"/>
    <w:rsid w:val="006C54B5"/>
    <w:rsid w:val="006D1E24"/>
    <w:rsid w:val="006D2066"/>
    <w:rsid w:val="006F054C"/>
    <w:rsid w:val="006F31EB"/>
    <w:rsid w:val="006F44E5"/>
    <w:rsid w:val="006F788C"/>
    <w:rsid w:val="006F7AE5"/>
    <w:rsid w:val="00700B00"/>
    <w:rsid w:val="0070149E"/>
    <w:rsid w:val="007160A8"/>
    <w:rsid w:val="00724A86"/>
    <w:rsid w:val="00734A5B"/>
    <w:rsid w:val="00742DC3"/>
    <w:rsid w:val="0074373B"/>
    <w:rsid w:val="00744E76"/>
    <w:rsid w:val="007476DB"/>
    <w:rsid w:val="00757D40"/>
    <w:rsid w:val="007645EF"/>
    <w:rsid w:val="007651F2"/>
    <w:rsid w:val="007719B5"/>
    <w:rsid w:val="00774167"/>
    <w:rsid w:val="007743FA"/>
    <w:rsid w:val="00776B75"/>
    <w:rsid w:val="007776D1"/>
    <w:rsid w:val="00781F0F"/>
    <w:rsid w:val="007822B5"/>
    <w:rsid w:val="007846A0"/>
    <w:rsid w:val="00784E85"/>
    <w:rsid w:val="0078727C"/>
    <w:rsid w:val="007923B6"/>
    <w:rsid w:val="007A4119"/>
    <w:rsid w:val="007B2469"/>
    <w:rsid w:val="007B46C9"/>
    <w:rsid w:val="007C095F"/>
    <w:rsid w:val="007C4EB1"/>
    <w:rsid w:val="007C6341"/>
    <w:rsid w:val="007E1903"/>
    <w:rsid w:val="007F35AC"/>
    <w:rsid w:val="007F5F2B"/>
    <w:rsid w:val="008003B1"/>
    <w:rsid w:val="008028A4"/>
    <w:rsid w:val="00806520"/>
    <w:rsid w:val="00807941"/>
    <w:rsid w:val="00840916"/>
    <w:rsid w:val="00846263"/>
    <w:rsid w:val="008538A7"/>
    <w:rsid w:val="00860109"/>
    <w:rsid w:val="008604EE"/>
    <w:rsid w:val="00861463"/>
    <w:rsid w:val="0086400B"/>
    <w:rsid w:val="008715DF"/>
    <w:rsid w:val="0087291C"/>
    <w:rsid w:val="008768CA"/>
    <w:rsid w:val="00880559"/>
    <w:rsid w:val="00890222"/>
    <w:rsid w:val="00892842"/>
    <w:rsid w:val="00893509"/>
    <w:rsid w:val="008A055E"/>
    <w:rsid w:val="008A5BC0"/>
    <w:rsid w:val="008B0A52"/>
    <w:rsid w:val="008B391A"/>
    <w:rsid w:val="008C73C9"/>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42ABF"/>
    <w:rsid w:val="00942EC2"/>
    <w:rsid w:val="009435F2"/>
    <w:rsid w:val="00945C14"/>
    <w:rsid w:val="00953801"/>
    <w:rsid w:val="00954818"/>
    <w:rsid w:val="00954D59"/>
    <w:rsid w:val="0095633A"/>
    <w:rsid w:val="00957D19"/>
    <w:rsid w:val="00961B32"/>
    <w:rsid w:val="009648ED"/>
    <w:rsid w:val="00967C71"/>
    <w:rsid w:val="00971683"/>
    <w:rsid w:val="00972FD7"/>
    <w:rsid w:val="00974BB0"/>
    <w:rsid w:val="009753CF"/>
    <w:rsid w:val="00980F85"/>
    <w:rsid w:val="009857AD"/>
    <w:rsid w:val="0099350C"/>
    <w:rsid w:val="00994F43"/>
    <w:rsid w:val="009C04EC"/>
    <w:rsid w:val="009C0CD5"/>
    <w:rsid w:val="009C4D5C"/>
    <w:rsid w:val="009C4D89"/>
    <w:rsid w:val="009D0A28"/>
    <w:rsid w:val="009D0D4E"/>
    <w:rsid w:val="009D2636"/>
    <w:rsid w:val="009F27BB"/>
    <w:rsid w:val="009F3B54"/>
    <w:rsid w:val="00A027A3"/>
    <w:rsid w:val="00A03B4E"/>
    <w:rsid w:val="00A10F02"/>
    <w:rsid w:val="00A11BA2"/>
    <w:rsid w:val="00A15EDA"/>
    <w:rsid w:val="00A243C6"/>
    <w:rsid w:val="00A37770"/>
    <w:rsid w:val="00A45773"/>
    <w:rsid w:val="00A53724"/>
    <w:rsid w:val="00A538E4"/>
    <w:rsid w:val="00A60813"/>
    <w:rsid w:val="00A82346"/>
    <w:rsid w:val="00A8361A"/>
    <w:rsid w:val="00A85811"/>
    <w:rsid w:val="00A90E1E"/>
    <w:rsid w:val="00A9671C"/>
    <w:rsid w:val="00AB16BB"/>
    <w:rsid w:val="00AB1CC9"/>
    <w:rsid w:val="00AC044E"/>
    <w:rsid w:val="00AC212A"/>
    <w:rsid w:val="00AC2AE2"/>
    <w:rsid w:val="00AD12A8"/>
    <w:rsid w:val="00AD1D93"/>
    <w:rsid w:val="00AD2C65"/>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122B6"/>
    <w:rsid w:val="00B15449"/>
    <w:rsid w:val="00B23DE6"/>
    <w:rsid w:val="00B30A13"/>
    <w:rsid w:val="00B46658"/>
    <w:rsid w:val="00B46F4D"/>
    <w:rsid w:val="00B4797D"/>
    <w:rsid w:val="00B47F1D"/>
    <w:rsid w:val="00B77CC2"/>
    <w:rsid w:val="00B91712"/>
    <w:rsid w:val="00B9781E"/>
    <w:rsid w:val="00BA217E"/>
    <w:rsid w:val="00BB0727"/>
    <w:rsid w:val="00BB4415"/>
    <w:rsid w:val="00BB702D"/>
    <w:rsid w:val="00BC69FF"/>
    <w:rsid w:val="00BE0201"/>
    <w:rsid w:val="00BE3C1A"/>
    <w:rsid w:val="00BE68F8"/>
    <w:rsid w:val="00BF0636"/>
    <w:rsid w:val="00BF79F1"/>
    <w:rsid w:val="00C03035"/>
    <w:rsid w:val="00C068A4"/>
    <w:rsid w:val="00C22183"/>
    <w:rsid w:val="00C27F25"/>
    <w:rsid w:val="00C33079"/>
    <w:rsid w:val="00C43352"/>
    <w:rsid w:val="00C62078"/>
    <w:rsid w:val="00C66142"/>
    <w:rsid w:val="00C66B56"/>
    <w:rsid w:val="00C67E53"/>
    <w:rsid w:val="00C77077"/>
    <w:rsid w:val="00C817D7"/>
    <w:rsid w:val="00C96045"/>
    <w:rsid w:val="00CA3D0C"/>
    <w:rsid w:val="00CB1D05"/>
    <w:rsid w:val="00CB5D24"/>
    <w:rsid w:val="00CB6887"/>
    <w:rsid w:val="00CC09E2"/>
    <w:rsid w:val="00CC373D"/>
    <w:rsid w:val="00CD4C7B"/>
    <w:rsid w:val="00D117DF"/>
    <w:rsid w:val="00D16B74"/>
    <w:rsid w:val="00D331A1"/>
    <w:rsid w:val="00D402F8"/>
    <w:rsid w:val="00D460DF"/>
    <w:rsid w:val="00D522CB"/>
    <w:rsid w:val="00D60463"/>
    <w:rsid w:val="00D6137C"/>
    <w:rsid w:val="00D65AF7"/>
    <w:rsid w:val="00D70737"/>
    <w:rsid w:val="00D738D6"/>
    <w:rsid w:val="00D73FFA"/>
    <w:rsid w:val="00D8013B"/>
    <w:rsid w:val="00D80795"/>
    <w:rsid w:val="00D87E00"/>
    <w:rsid w:val="00D9134D"/>
    <w:rsid w:val="00D9267F"/>
    <w:rsid w:val="00D9310D"/>
    <w:rsid w:val="00DA0B03"/>
    <w:rsid w:val="00DA7A03"/>
    <w:rsid w:val="00DB1818"/>
    <w:rsid w:val="00DB1E77"/>
    <w:rsid w:val="00DC309B"/>
    <w:rsid w:val="00DC4DA2"/>
    <w:rsid w:val="00DD2038"/>
    <w:rsid w:val="00DE0C24"/>
    <w:rsid w:val="00DE1875"/>
    <w:rsid w:val="00DF26DC"/>
    <w:rsid w:val="00DF2CAC"/>
    <w:rsid w:val="00E07838"/>
    <w:rsid w:val="00E11452"/>
    <w:rsid w:val="00E23E99"/>
    <w:rsid w:val="00E27FA9"/>
    <w:rsid w:val="00E50099"/>
    <w:rsid w:val="00E530E8"/>
    <w:rsid w:val="00E62835"/>
    <w:rsid w:val="00E62C89"/>
    <w:rsid w:val="00E635E3"/>
    <w:rsid w:val="00E64CD7"/>
    <w:rsid w:val="00E77645"/>
    <w:rsid w:val="00E81530"/>
    <w:rsid w:val="00E8196F"/>
    <w:rsid w:val="00E852FF"/>
    <w:rsid w:val="00E90A8A"/>
    <w:rsid w:val="00E934CB"/>
    <w:rsid w:val="00EA22F8"/>
    <w:rsid w:val="00EA413D"/>
    <w:rsid w:val="00EC1EED"/>
    <w:rsid w:val="00EC4A25"/>
    <w:rsid w:val="00ED07CA"/>
    <w:rsid w:val="00ED1ABD"/>
    <w:rsid w:val="00EE0CB8"/>
    <w:rsid w:val="00EF3D6A"/>
    <w:rsid w:val="00EF79EB"/>
    <w:rsid w:val="00F006BA"/>
    <w:rsid w:val="00F025A2"/>
    <w:rsid w:val="00F14F30"/>
    <w:rsid w:val="00F16DBA"/>
    <w:rsid w:val="00F2026E"/>
    <w:rsid w:val="00F20512"/>
    <w:rsid w:val="00F20E50"/>
    <w:rsid w:val="00F2210A"/>
    <w:rsid w:val="00F37743"/>
    <w:rsid w:val="00F37EC8"/>
    <w:rsid w:val="00F423EA"/>
    <w:rsid w:val="00F54A3D"/>
    <w:rsid w:val="00F57BEC"/>
    <w:rsid w:val="00F653B8"/>
    <w:rsid w:val="00F743AE"/>
    <w:rsid w:val="00F75913"/>
    <w:rsid w:val="00F76F8F"/>
    <w:rsid w:val="00F82374"/>
    <w:rsid w:val="00F8361E"/>
    <w:rsid w:val="00F87693"/>
    <w:rsid w:val="00FA1266"/>
    <w:rsid w:val="00FA512C"/>
    <w:rsid w:val="00FB14C4"/>
    <w:rsid w:val="00FB2BEA"/>
    <w:rsid w:val="00FB2F48"/>
    <w:rsid w:val="00FB4E97"/>
    <w:rsid w:val="00FB7191"/>
    <w:rsid w:val="00FC1192"/>
    <w:rsid w:val="00FC4E6E"/>
    <w:rsid w:val="00FE2E07"/>
    <w:rsid w:val="00FE38CB"/>
    <w:rsid w:val="00FE5513"/>
    <w:rsid w:val="00FE5BC8"/>
    <w:rsid w:val="00FE616A"/>
    <w:rsid w:val="00FF50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0BE3E342-0598-46E1-9AA1-A59DE8D7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paragraph" w:styleId="Caption">
    <w:name w:val="caption"/>
    <w:basedOn w:val="Normal"/>
    <w:next w:val="Normal"/>
    <w:unhideWhenUsed/>
    <w:qFormat/>
    <w:rsid w:val="00807941"/>
    <w:pPr>
      <w:spacing w:after="18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536FE-6CFF-4B8E-8D63-5BE6819AE217}">
  <ds:schemaRefs>
    <ds:schemaRef ds:uri="Microsoft.SharePoint.Taxonomy.ContentTypeSync"/>
  </ds:schemaRefs>
</ds:datastoreItem>
</file>

<file path=customXml/itemProps4.xml><?xml version="1.0" encoding="utf-8"?>
<ds:datastoreItem xmlns:ds="http://schemas.openxmlformats.org/officeDocument/2006/customXml" ds:itemID="{521613EF-08D2-448B-B718-A40B70EDF522}">
  <ds:schemaRefs>
    <ds:schemaRef ds:uri="http://schemas.microsoft.com/sharepoint/events"/>
  </ds:schemaRefs>
</ds:datastoreItem>
</file>

<file path=customXml/itemProps5.xml><?xml version="1.0" encoding="utf-8"?>
<ds:datastoreItem xmlns:ds="http://schemas.openxmlformats.org/officeDocument/2006/customXml" ds:itemID="{238D89BF-4C88-43CF-B65D-DF5139EA9AD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102</TotalTime>
  <Pages>3</Pages>
  <Words>1137</Words>
  <Characters>8541</Characters>
  <Application>Microsoft Office Word</Application>
  <DocSecurity>0</DocSecurity>
  <Lines>502</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9376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2024-02-13T15:07:00Z</dcterms:created>
  <dcterms:modified xsi:type="dcterms:W3CDTF">2024-02-19T14:26:00Z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ies>
</file>